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color w:val="2f5496"/>
          <w:sz w:val="36"/>
          <w:szCs w:val="36"/>
        </w:rPr>
      </w:pPr>
      <w:bookmarkStart w:colFirst="0" w:colLast="0" w:name="_gjdgxs" w:id="0"/>
      <w:bookmarkEnd w:id="0"/>
      <w:r w:rsidDel="00000000" w:rsidR="00000000" w:rsidRPr="00000000">
        <w:rPr>
          <w:color w:val="2f5496"/>
          <w:sz w:val="36"/>
          <w:szCs w:val="36"/>
          <w:rtl w:val="0"/>
        </w:rPr>
        <w:t xml:space="preserve">Edah Financial Aid Application 5780 (2019-20)</w:t>
      </w:r>
    </w:p>
    <w:p w:rsidR="00000000" w:rsidDel="00000000" w:rsidP="00000000" w:rsidRDefault="00000000" w:rsidRPr="00000000" w14:paraId="00000002">
      <w:pPr>
        <w:rPr/>
      </w:pPr>
      <w:r w:rsidDel="00000000" w:rsidR="00000000" w:rsidRPr="00000000">
        <w:rPr>
          <w:rtl w:val="0"/>
        </w:rPr>
        <w:t xml:space="preserve">Edah aspires to make programming accessible to the community, regardless of financial circumstances. Currently, scholarship resources are limited, so we ask that you thoughtfully consider your request to allow the maximum number of applicants to benefit. Note that financial aid awards apply to afterschool </w:t>
      </w:r>
      <w:r w:rsidDel="00000000" w:rsidR="00000000" w:rsidRPr="00000000">
        <w:rPr>
          <w:b w:val="1"/>
          <w:u w:val="single"/>
          <w:rtl w:val="0"/>
        </w:rPr>
        <w:t xml:space="preserve">tuition only</w:t>
      </w:r>
      <w:r w:rsidDel="00000000" w:rsidR="00000000" w:rsidRPr="00000000">
        <w:rPr>
          <w:rtl w:val="0"/>
        </w:rPr>
        <w:t xml:space="preserve">.</w:t>
      </w:r>
    </w:p>
    <w:p w:rsidR="00000000" w:rsidDel="00000000" w:rsidP="00000000" w:rsidRDefault="00000000" w:rsidRPr="00000000" w14:paraId="00000003">
      <w:pPr>
        <w:pStyle w:val="Heading3"/>
        <w:rPr/>
      </w:pPr>
      <w:bookmarkStart w:colFirst="0" w:colLast="0" w:name="_30j0zll" w:id="1"/>
      <w:bookmarkEnd w:id="1"/>
      <w:r w:rsidDel="00000000" w:rsidR="00000000" w:rsidRPr="00000000">
        <w:rPr>
          <w:rtl w:val="0"/>
        </w:rPr>
        <w:t xml:space="preserve">Instructions</w:t>
      </w:r>
    </w:p>
    <w:p w:rsidR="00000000" w:rsidDel="00000000" w:rsidP="00000000" w:rsidRDefault="00000000" w:rsidRPr="00000000" w14:paraId="00000004">
      <w:pPr>
        <w:rPr/>
      </w:pPr>
      <w:r w:rsidDel="00000000" w:rsidR="00000000" w:rsidRPr="00000000">
        <w:rPr>
          <w:b w:val="1"/>
          <w:rtl w:val="0"/>
        </w:rPr>
        <w:t xml:space="preserve">1. Register online and pay registration fees. </w:t>
      </w:r>
      <w:r w:rsidDel="00000000" w:rsidR="00000000" w:rsidRPr="00000000">
        <w:rPr>
          <w:rtl w:val="0"/>
        </w:rPr>
        <w:br w:type="textWrapping"/>
        <w:t xml:space="preserve">If your request is not approved in full, you will have the option to withdraw with a full refund. If your request is approved in full, the regular cancellation and refund policy will apply.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2. Submit Financial Aid Application by May 31, 2019.</w:t>
      </w:r>
      <w:r w:rsidDel="00000000" w:rsidR="00000000" w:rsidRPr="00000000">
        <w:rPr>
          <w:rtl w:val="0"/>
        </w:rPr>
        <w:br w:type="textWrapping"/>
        <w:t xml:space="preserve">Applications received by May 31 will be given priority. Applications received after the deadline will be considered depending on available funds.</w:t>
      </w:r>
    </w:p>
    <w:p w:rsidR="00000000" w:rsidDel="00000000" w:rsidP="00000000" w:rsidRDefault="00000000" w:rsidRPr="00000000" w14:paraId="00000007">
      <w:pPr>
        <w:rPr>
          <w:sz w:val="20"/>
          <w:szCs w:val="20"/>
        </w:rPr>
      </w:pPr>
      <w:r w:rsidDel="00000000" w:rsidR="00000000" w:rsidRPr="00000000">
        <w:rPr>
          <w:rtl w:val="0"/>
        </w:rPr>
      </w:r>
    </w:p>
    <w:tbl>
      <w:tblPr>
        <w:tblStyle w:val="Table1"/>
        <w:tblW w:w="10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trHeight w:val="660" w:hRule="atLeast"/>
        </w:trPr>
        <w:tc>
          <w:tcPr>
            <w:tcMar>
              <w:top w:w="100.0" w:type="dxa"/>
              <w:left w:w="100.0" w:type="dxa"/>
              <w:bottom w:w="100.0" w:type="dxa"/>
              <w:right w:w="100.0" w:type="dxa"/>
            </w:tcMar>
          </w:tcPr>
          <w:p w:rsidR="00000000" w:rsidDel="00000000" w:rsidP="00000000" w:rsidRDefault="00000000" w:rsidRPr="00000000" w14:paraId="00000008">
            <w:pPr>
              <w:rPr>
                <w:sz w:val="20"/>
                <w:szCs w:val="20"/>
              </w:rPr>
            </w:pPr>
            <w:r w:rsidDel="00000000" w:rsidR="00000000" w:rsidRPr="00000000">
              <w:rPr>
                <w:sz w:val="20"/>
                <w:szCs w:val="20"/>
                <w:rtl w:val="0"/>
              </w:rPr>
              <w:t xml:space="preserve">First name</w:t>
            </w:r>
          </w:p>
          <w:p w:rsidR="00000000" w:rsidDel="00000000" w:rsidP="00000000" w:rsidRDefault="00000000" w:rsidRPr="00000000" w14:paraId="00000009">
            <w:pPr>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A">
            <w:pPr>
              <w:rPr>
                <w:sz w:val="20"/>
                <w:szCs w:val="20"/>
              </w:rPr>
            </w:pPr>
            <w:r w:rsidDel="00000000" w:rsidR="00000000" w:rsidRPr="00000000">
              <w:rPr>
                <w:sz w:val="20"/>
                <w:szCs w:val="20"/>
                <w:rtl w:val="0"/>
              </w:rPr>
              <w:t xml:space="preserve">Last name</w:t>
            </w:r>
          </w:p>
        </w:tc>
      </w:tr>
      <w:tr>
        <w:trPr>
          <w:trHeight w:val="680" w:hRule="atLeast"/>
        </w:trPr>
        <w:tc>
          <w:tcPr>
            <w:tcMar>
              <w:top w:w="100.0" w:type="dxa"/>
              <w:left w:w="100.0" w:type="dxa"/>
              <w:bottom w:w="100.0" w:type="dxa"/>
              <w:right w:w="100.0" w:type="dxa"/>
            </w:tcMar>
          </w:tcPr>
          <w:p w:rsidR="00000000" w:rsidDel="00000000" w:rsidP="00000000" w:rsidRDefault="00000000" w:rsidRPr="00000000" w14:paraId="0000000B">
            <w:pPr>
              <w:rPr>
                <w:sz w:val="16"/>
                <w:szCs w:val="16"/>
              </w:rPr>
            </w:pPr>
            <w:r w:rsidDel="00000000" w:rsidR="00000000" w:rsidRPr="00000000">
              <w:rPr>
                <w:sz w:val="20"/>
                <w:szCs w:val="20"/>
                <w:rtl w:val="0"/>
              </w:rPr>
              <w:t xml:space="preserve">Phone</w:t>
            </w:r>
            <w:r w:rsidDel="00000000" w:rsidR="00000000" w:rsidRPr="00000000">
              <w:rPr>
                <w:rtl w:val="0"/>
              </w:rPr>
            </w:r>
          </w:p>
          <w:p w:rsidR="00000000" w:rsidDel="00000000" w:rsidP="00000000" w:rsidRDefault="00000000" w:rsidRPr="00000000" w14:paraId="0000000C">
            <w:pPr>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D">
            <w:pPr>
              <w:rPr>
                <w:sz w:val="20"/>
                <w:szCs w:val="20"/>
              </w:rPr>
            </w:pPr>
            <w:r w:rsidDel="00000000" w:rsidR="00000000" w:rsidRPr="00000000">
              <w:rPr>
                <w:sz w:val="20"/>
                <w:szCs w:val="20"/>
                <w:rtl w:val="0"/>
              </w:rPr>
              <w:t xml:space="preserve">Email</w:t>
            </w:r>
          </w:p>
        </w:tc>
      </w:tr>
      <w:tr>
        <w:trPr>
          <w:trHeight w:val="620" w:hRule="atLeast"/>
        </w:trPr>
        <w:tc>
          <w:tcPr>
            <w:gridSpan w:val="2"/>
            <w:tcMar>
              <w:top w:w="100.0" w:type="dxa"/>
              <w:left w:w="100.0" w:type="dxa"/>
              <w:bottom w:w="100.0" w:type="dxa"/>
              <w:right w:w="100.0" w:type="dxa"/>
            </w:tcMar>
          </w:tcPr>
          <w:p w:rsidR="00000000" w:rsidDel="00000000" w:rsidP="00000000" w:rsidRDefault="00000000" w:rsidRPr="00000000" w14:paraId="0000000E">
            <w:pPr>
              <w:rPr>
                <w:sz w:val="20"/>
                <w:szCs w:val="20"/>
              </w:rPr>
            </w:pPr>
            <w:r w:rsidDel="00000000" w:rsidR="00000000" w:rsidRPr="00000000">
              <w:rPr>
                <w:sz w:val="20"/>
                <w:szCs w:val="20"/>
                <w:rtl w:val="0"/>
              </w:rPr>
              <w:t xml:space="preserve">Children registered for Edah:</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c>
      </w:tr>
      <w:tr>
        <w:trPr>
          <w:trHeight w:val="2880" w:hRule="atLeast"/>
        </w:trPr>
        <w:tc>
          <w:tcPr>
            <w:gridSpan w:val="2"/>
            <w:tcMar>
              <w:top w:w="100.0" w:type="dxa"/>
              <w:left w:w="100.0" w:type="dxa"/>
              <w:bottom w:w="100.0" w:type="dxa"/>
              <w:right w:w="100.0" w:type="dxa"/>
            </w:tcMar>
          </w:tcPr>
          <w:p w:rsidR="00000000" w:rsidDel="00000000" w:rsidP="00000000" w:rsidRDefault="00000000" w:rsidRPr="00000000" w14:paraId="00000012">
            <w:pPr>
              <w:rPr>
                <w:sz w:val="20"/>
                <w:szCs w:val="20"/>
              </w:rPr>
            </w:pPr>
            <w:r w:rsidDel="00000000" w:rsidR="00000000" w:rsidRPr="00000000">
              <w:rPr>
                <w:sz w:val="20"/>
                <w:szCs w:val="20"/>
                <w:rtl w:val="0"/>
              </w:rPr>
              <w:t xml:space="preserve">Please describe your financial circumstances and why you are applying for financial aid.</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tc>
      </w:tr>
      <w:tr>
        <w:trPr>
          <w:trHeight w:val="480" w:hRule="atLeast"/>
        </w:trPr>
        <w:tc>
          <w:tcPr>
            <w:tcMar>
              <w:top w:w="100.0" w:type="dxa"/>
              <w:left w:w="100.0" w:type="dxa"/>
              <w:bottom w:w="100.0" w:type="dxa"/>
              <w:right w:w="100.0" w:type="dxa"/>
            </w:tcMar>
            <w:vAlign w:val="center"/>
          </w:tcPr>
          <w:p w:rsidR="00000000" w:rsidDel="00000000" w:rsidP="00000000" w:rsidRDefault="00000000" w:rsidRPr="00000000" w14:paraId="0000001D">
            <w:pPr>
              <w:jc w:val="right"/>
              <w:rPr>
                <w:sz w:val="20"/>
                <w:szCs w:val="20"/>
              </w:rPr>
            </w:pPr>
            <w:r w:rsidDel="00000000" w:rsidR="00000000" w:rsidRPr="00000000">
              <w:rPr>
                <w:sz w:val="20"/>
                <w:szCs w:val="20"/>
                <w:rtl w:val="0"/>
              </w:rPr>
              <w:t xml:space="preserve">Total </w:t>
            </w:r>
            <w:r w:rsidDel="00000000" w:rsidR="00000000" w:rsidRPr="00000000">
              <w:rPr>
                <w:sz w:val="20"/>
                <w:szCs w:val="20"/>
                <w:u w:val="single"/>
                <w:rtl w:val="0"/>
              </w:rPr>
              <w:t xml:space="preserve">tuition</w:t>
            </w:r>
            <w:r w:rsidDel="00000000" w:rsidR="00000000" w:rsidRPr="00000000">
              <w:rPr>
                <w:sz w:val="20"/>
                <w:szCs w:val="20"/>
                <w:rtl w:val="0"/>
              </w:rPr>
              <w:t xml:space="preserve"> (</w:t>
            </w:r>
            <w:r w:rsidDel="00000000" w:rsidR="00000000" w:rsidRPr="00000000">
              <w:rPr>
                <w:i w:val="1"/>
                <w:sz w:val="20"/>
                <w:szCs w:val="20"/>
                <w:rtl w:val="0"/>
              </w:rPr>
              <w:t xml:space="preserve">excluding</w:t>
            </w:r>
            <w:r w:rsidDel="00000000" w:rsidR="00000000" w:rsidRPr="00000000">
              <w:rPr>
                <w:sz w:val="20"/>
                <w:szCs w:val="20"/>
                <w:rtl w:val="0"/>
              </w:rPr>
              <w:t xml:space="preserve"> registration fees) for all children registered for Edah:</w:t>
            </w:r>
          </w:p>
        </w:tc>
        <w:tc>
          <w:tcP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pPr>
            <w:r w:rsidDel="00000000" w:rsidR="00000000" w:rsidRPr="00000000">
              <w:rPr>
                <w:rtl w:val="0"/>
              </w:rPr>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14:paraId="0000001F">
            <w:pPr>
              <w:jc w:val="right"/>
              <w:rPr>
                <w:sz w:val="20"/>
                <w:szCs w:val="20"/>
              </w:rPr>
            </w:pPr>
            <w:r w:rsidDel="00000000" w:rsidR="00000000" w:rsidRPr="00000000">
              <w:rPr>
                <w:sz w:val="20"/>
                <w:szCs w:val="20"/>
                <w:rtl w:val="0"/>
              </w:rPr>
              <w:t xml:space="preserve">Amount you are you able to pay:</w:t>
            </w:r>
          </w:p>
        </w:tc>
        <w:tc>
          <w:tcP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pPr>
            <w:r w:rsidDel="00000000" w:rsidR="00000000" w:rsidRPr="00000000">
              <w:rPr>
                <w:rtl w:val="0"/>
              </w:rPr>
            </w:r>
          </w:p>
        </w:tc>
      </w:tr>
      <w:tr>
        <w:trPr>
          <w:trHeight w:val="520" w:hRule="atLeast"/>
        </w:trPr>
        <w:tc>
          <w:tcPr>
            <w:tcMar>
              <w:top w:w="100.0" w:type="dxa"/>
              <w:left w:w="100.0" w:type="dxa"/>
              <w:bottom w:w="100.0" w:type="dxa"/>
              <w:right w:w="100.0" w:type="dxa"/>
            </w:tcMar>
            <w:vAlign w:val="center"/>
          </w:tcPr>
          <w:p w:rsidR="00000000" w:rsidDel="00000000" w:rsidP="00000000" w:rsidRDefault="00000000" w:rsidRPr="00000000" w14:paraId="00000021">
            <w:pPr>
              <w:jc w:val="right"/>
              <w:rPr>
                <w:sz w:val="20"/>
                <w:szCs w:val="20"/>
              </w:rPr>
            </w:pPr>
            <w:r w:rsidDel="00000000" w:rsidR="00000000" w:rsidRPr="00000000">
              <w:rPr>
                <w:sz w:val="20"/>
                <w:szCs w:val="20"/>
                <w:rtl w:val="0"/>
              </w:rPr>
              <w:t xml:space="preserve">Scholarship request:</w:t>
            </w:r>
          </w:p>
        </w:tc>
        <w:tc>
          <w:tcP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08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sz w:val="20"/>
        <w:szCs w:val="20"/>
      </w:rPr>
    </w:pPr>
    <w:bookmarkStart w:colFirst="0" w:colLast="0" w:name="_1fob9te" w:id="2"/>
    <w:bookmarkEnd w:id="2"/>
    <w:r w:rsidDel="00000000" w:rsidR="00000000" w:rsidRPr="00000000">
      <w:pict>
        <v:rect style="width:0.0pt;height:1.5pt" o:hr="t" o:hrstd="t" o:hralign="center" fillcolor="#A0A0A0" stroked="f"/>
      </w:pict>
    </w:r>
    <w:r w:rsidDel="00000000" w:rsidR="00000000" w:rsidRPr="00000000">
      <w:rPr>
        <w:sz w:val="20"/>
        <w:szCs w:val="20"/>
        <w:rtl w:val="0"/>
      </w:rPr>
      <w:t xml:space="preserve">Studio 70 | 1009 Camelia St, Berkeley, CA 94710 | edah</w:t>
    </w:r>
    <w:hyperlink r:id="rId1">
      <w:r w:rsidDel="00000000" w:rsidR="00000000" w:rsidRPr="00000000">
        <w:rPr>
          <w:sz w:val="20"/>
          <w:szCs w:val="20"/>
          <w:rtl w:val="0"/>
        </w:rPr>
        <w:t xml:space="preserve">@studio-70.org</w:t>
      </w:r>
    </w:hyperlink>
    <w:r w:rsidDel="00000000" w:rsidR="00000000" w:rsidRPr="00000000">
      <w:rPr>
        <w:sz w:val="20"/>
        <w:szCs w:val="20"/>
        <w:rtl w:val="0"/>
      </w:rPr>
      <w:t xml:space="preserve"> | 510-529-4995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color="000000" w:space="6" w:sz="6" w:val="single"/>
        <w:right w:space="0" w:sz="0" w:val="nil"/>
        <w:between w:space="0" w:sz="0" w:val="nil"/>
      </w:pBdr>
      <w:shd w:fill="auto" w:val="clear"/>
      <w:tabs>
        <w:tab w:val="right" w:pos="73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SF    |    BERK</w:t>
      <w:tab/>
      <w:tab/>
      <w:t xml:space="preserve">Last name: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nfo@edah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